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Layout w:type="fixed"/>
      </w:tblPr>
      <w:tblGrid>
        <w:gridCol w:w="3939"/>
        <w:gridCol w:w="2856"/>
        <w:gridCol w:w="2560"/>
      </w:tblGrid>
      <w:tr>
        <w:trPr>
          <w:trHeight w:hRule="atLeast" w:val="1413"/>
        </w:trPr>
        <w:tc>
          <w:tcPr>
            <w:tcW w:type="dxa" w:w="9355"/>
            <w:gridSpan w:val="3"/>
          </w:tcPr>
          <w:p w14:paraId="03000000">
            <w:pPr>
              <w:widowControl w:val="1"/>
              <w:ind/>
              <w:jc w:val="center"/>
              <w:rPr>
                <w:b w:val="1"/>
                <w:sz w:val="32"/>
              </w:rPr>
            </w:pPr>
            <w:bookmarkStart w:id="1" w:name="_Hlk200006182"/>
            <w:r>
              <w:drawing>
                <wp:inline>
                  <wp:extent cx="781050" cy="819150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3"/>
                          <a:stretch/>
                        </pic:blipFill>
                        <pic:spPr>
                          <a:xfrm flipH="false" flipV="false" rot="0">
                            <a:ext cx="781050" cy="81915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hRule="atLeast" w:val="585"/>
        </w:trPr>
        <w:tc>
          <w:tcPr>
            <w:tcW w:type="dxa" w:w="9355"/>
            <w:gridSpan w:val="3"/>
          </w:tcPr>
          <w:p w14:paraId="04000000">
            <w:pPr>
              <w:widowControl w:val="1"/>
              <w:ind w:firstLine="142" w:left="-283"/>
              <w:jc w:val="center"/>
              <w:rPr>
                <w:b w:val="1"/>
                <w:caps w:val="1"/>
                <w:sz w:val="36"/>
              </w:rPr>
            </w:pPr>
            <w:r>
              <w:rPr>
                <w:b w:val="1"/>
                <w:sz w:val="36"/>
              </w:rPr>
              <w:t xml:space="preserve">МИНИСТЕРСТВО </w:t>
            </w:r>
            <w:r>
              <w:rPr>
                <w:b w:val="1"/>
                <w:caps w:val="1"/>
                <w:sz w:val="36"/>
              </w:rPr>
              <w:t>строительства,</w:t>
            </w:r>
          </w:p>
          <w:p w14:paraId="05000000">
            <w:pPr>
              <w:widowControl w:val="1"/>
              <w:ind w:firstLine="142" w:left="-283"/>
              <w:jc w:val="center"/>
              <w:rPr>
                <w:b w:val="1"/>
                <w:caps w:val="0"/>
                <w:sz w:val="36"/>
              </w:rPr>
            </w:pPr>
            <w:r>
              <w:rPr>
                <w:b w:val="1"/>
                <w:caps w:val="1"/>
                <w:sz w:val="36"/>
              </w:rPr>
              <w:t xml:space="preserve">архитектуры и территориального развития </w:t>
            </w:r>
            <w:r>
              <w:rPr>
                <w:b w:val="1"/>
                <w:caps w:val="1"/>
                <w:sz w:val="36"/>
              </w:rPr>
              <w:t xml:space="preserve">Ростовской области </w:t>
            </w:r>
          </w:p>
          <w:p w14:paraId="06000000">
            <w:pPr>
              <w:widowControl w:val="1"/>
              <w:ind w:firstLine="142" w:left="-283"/>
              <w:jc w:val="center"/>
              <w:rPr>
                <w:b w:val="1"/>
                <w:sz w:val="32"/>
              </w:rPr>
            </w:pPr>
          </w:p>
        </w:tc>
      </w:tr>
      <w:tr>
        <w:trPr>
          <w:trHeight w:hRule="atLeast" w:val="744"/>
        </w:trPr>
        <w:tc>
          <w:tcPr>
            <w:tcW w:type="dxa" w:w="9355"/>
            <w:gridSpan w:val="3"/>
          </w:tcPr>
          <w:p w14:paraId="07000000">
            <w:pPr>
              <w:widowControl w:val="1"/>
              <w:ind/>
              <w:jc w:val="center"/>
              <w:rPr>
                <w:b w:val="1"/>
                <w:sz w:val="36"/>
              </w:rPr>
            </w:pPr>
            <w:r>
              <w:rPr>
                <w:b w:val="1"/>
                <w:sz w:val="36"/>
              </w:rPr>
              <w:t>РАСПОРЯЖЕНИЕ</w:t>
            </w:r>
          </w:p>
        </w:tc>
      </w:tr>
      <w:tr>
        <w:trPr>
          <w:trHeight w:hRule="atLeast" w:val="405"/>
        </w:trPr>
        <w:tc>
          <w:tcPr>
            <w:tcW w:type="dxa" w:w="3939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r>
              <w:t xml:space="preserve">«____» _________ 2026 г. </w:t>
            </w:r>
          </w:p>
        </w:tc>
        <w:tc>
          <w:tcPr>
            <w:tcW w:type="dxa" w:w="2856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ind/>
              <w:jc w:val="right"/>
            </w:pPr>
            <w:r>
              <w:t xml:space="preserve"> </w:t>
            </w:r>
          </w:p>
        </w:tc>
        <w:tc>
          <w:tcPr>
            <w:tcW w:type="dxa" w:w="2560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widowControl w:val="1"/>
              <w:ind/>
              <w:jc w:val="left"/>
            </w:pPr>
            <w:r>
              <w:t xml:space="preserve">    № _______</w:t>
            </w:r>
          </w:p>
        </w:tc>
      </w:tr>
    </w:tbl>
    <w:p w14:paraId="0B000000"/>
    <w:tbl>
      <w:tblPr>
        <w:tblStyle w:val="Style_2"/>
        <w:tblW w:type="auto" w:w="0"/>
        <w:tblInd w:type="dxa" w:w="137"/>
        <w:tblLayout w:type="fixed"/>
      </w:tblPr>
      <w:tblGrid>
        <w:gridCol w:w="8930"/>
      </w:tblGrid>
      <w:tr>
        <w:trPr>
          <w:trHeight w:hRule="atLeast" w:val="584"/>
        </w:trPr>
        <w:tc>
          <w:tcPr>
            <w:tcW w:type="dxa" w:w="8930"/>
          </w:tcPr>
          <w:p w14:paraId="0C000000">
            <w:pPr>
              <w:widowControl w:val="1"/>
              <w:ind/>
              <w:jc w:val="center"/>
            </w:pPr>
            <w:r>
              <w:t>г. Ростов-на-Дону</w:t>
            </w:r>
          </w:p>
          <w:p w14:paraId="0D000000">
            <w:pPr>
              <w:widowControl w:val="1"/>
              <w:ind/>
              <w:jc w:val="center"/>
              <w:rPr>
                <w:color w:val="000040"/>
              </w:rPr>
            </w:pPr>
          </w:p>
          <w:p w14:paraId="0E000000">
            <w:pPr>
              <w:widowControl w:val="1"/>
              <w:ind/>
              <w:jc w:val="center"/>
              <w:rPr>
                <w:color w:val="000040"/>
              </w:rPr>
            </w:pPr>
          </w:p>
        </w:tc>
      </w:tr>
    </w:tbl>
    <w:p w14:paraId="0F000000">
      <w:pPr>
        <w:widowControl w:val="1"/>
        <w:ind w:firstLine="0" w:left="0"/>
        <w:jc w:val="center"/>
        <w:rPr>
          <w:b w:val="1"/>
        </w:rPr>
      </w:pPr>
      <w:r>
        <w:rPr>
          <w:b w:val="1"/>
          <w:strike w:val="0"/>
          <w:u w:val="none"/>
        </w:rPr>
        <w:t xml:space="preserve">О </w:t>
      </w:r>
      <w:r>
        <w:rPr>
          <w:b w:val="1"/>
          <w:strike w:val="0"/>
          <w:u w:val="none"/>
        </w:rPr>
        <w:t xml:space="preserve">предоставлении </w:t>
      </w:r>
      <w:r>
        <w:rPr>
          <w:b w:val="1"/>
        </w:rPr>
        <w:t>разрешения на условно разрешенный вид использования земельного участка</w:t>
      </w:r>
    </w:p>
    <w:p w14:paraId="10000000">
      <w:pPr>
        <w:widowControl w:val="1"/>
        <w:ind w:firstLine="0" w:left="0"/>
        <w:jc w:val="center"/>
        <w:rPr>
          <w:b w:val="1"/>
        </w:rPr>
      </w:pPr>
    </w:p>
    <w:p w14:paraId="11000000">
      <w:pPr>
        <w:widowControl w:val="1"/>
        <w:ind w:firstLine="700" w:left="0"/>
        <w:jc w:val="both"/>
        <w:rPr>
          <w:strike w:val="0"/>
        </w:rPr>
      </w:pPr>
      <w:r>
        <w:t xml:space="preserve">В </w:t>
      </w:r>
      <w:r>
        <w:t>соответствии со статьями 8</w:t>
      </w:r>
      <w:r>
        <w:rPr>
          <w:vertAlign w:val="superscript"/>
        </w:rPr>
        <w:t>2</w:t>
      </w:r>
      <w:r>
        <w:t xml:space="preserve">, </w:t>
      </w:r>
      <w:r>
        <w:t>39</w:t>
      </w:r>
      <w:r>
        <w:t xml:space="preserve"> Градостроительного ко</w:t>
      </w:r>
      <w:r>
        <w:t>декса</w:t>
      </w:r>
      <w:r>
        <w:t xml:space="preserve"> Российской Федерации,</w:t>
      </w:r>
      <w:r>
        <w:t xml:space="preserve"> </w:t>
      </w:r>
      <w:r>
        <w:t>Областным законом Ростовской области от</w:t>
      </w:r>
      <w:r>
        <w:rPr>
          <w:rFonts w:ascii="Times New Roman" w:hAnsi="Times New Roman"/>
          <w:spacing w:val="0"/>
          <w:sz w:val="28"/>
        </w:rPr>
        <w:t> </w:t>
      </w:r>
      <w:r>
        <w:t>28.12.2024 № 251-ЗС «О</w:t>
      </w:r>
      <w:r>
        <w:rPr>
          <w:rFonts w:ascii="Times New Roman" w:hAnsi="Times New Roman"/>
          <w:spacing w:val="0"/>
          <w:sz w:val="28"/>
        </w:rPr>
        <w:t> </w:t>
      </w:r>
      <w:r>
        <w:t>перераспределении отдельных полномочий между органами местного самоуправления и органами государственной власти Ростовской области»,</w:t>
      </w:r>
      <w:r>
        <w:t xml:space="preserve"> </w:t>
      </w:r>
      <w:r>
        <w:t>постановлениями Правительства Ростовской области от</w:t>
      </w:r>
      <w:r>
        <w:rPr>
          <w:rFonts w:ascii="Times New Roman" w:hAnsi="Times New Roman"/>
          <w:spacing w:val="0"/>
          <w:sz w:val="28"/>
        </w:rPr>
        <w:t> </w:t>
      </w:r>
      <w:r>
        <w:t>17.02.2025 №</w:t>
      </w:r>
      <w:r>
        <w:rPr>
          <w:rFonts w:ascii="Times New Roman" w:hAnsi="Times New Roman"/>
          <w:spacing w:val="0"/>
          <w:sz w:val="28"/>
        </w:rPr>
        <w:t> </w:t>
      </w:r>
      <w:r>
        <w:t>104 «Об уполномоченных органах», от 25.04.202</w:t>
      </w:r>
      <w:r>
        <w:t>5</w:t>
      </w:r>
      <w:r>
        <w:t xml:space="preserve"> №</w:t>
      </w:r>
      <w:r>
        <w:rPr>
          <w:rFonts w:ascii="Times New Roman" w:hAnsi="Times New Roman"/>
          <w:spacing w:val="0"/>
          <w:sz w:val="28"/>
        </w:rPr>
        <w:t> </w:t>
      </w:r>
      <w:r>
        <w:t>302 «О</w:t>
      </w:r>
      <w:r>
        <w:rPr>
          <w:rFonts w:ascii="Times New Roman" w:hAnsi="Times New Roman"/>
          <w:spacing w:val="0"/>
          <w:sz w:val="28"/>
        </w:rPr>
        <w:t> </w:t>
      </w:r>
      <w:r>
        <w:t>взаимодействии органов государственной власти Ростовской области</w:t>
      </w:r>
      <w:r>
        <w:rPr>
          <w:rFonts w:ascii="Times New Roman" w:hAnsi="Times New Roman"/>
          <w:spacing w:val="0"/>
          <w:sz w:val="28"/>
        </w:rPr>
        <w:t> </w:t>
      </w:r>
      <w:r>
        <w:t>и</w:t>
      </w:r>
      <w:r>
        <w:rPr>
          <w:rFonts w:ascii="Times New Roman" w:hAnsi="Times New Roman"/>
          <w:spacing w:val="0"/>
          <w:sz w:val="28"/>
        </w:rPr>
        <w:t> </w:t>
      </w:r>
      <w:r>
        <w:t>органов местного самоуправления муниципальных образований в Ростовской области по</w:t>
      </w:r>
      <w:r>
        <w:rPr>
          <w:rFonts w:ascii="Times New Roman" w:hAnsi="Times New Roman"/>
          <w:spacing w:val="0"/>
          <w:sz w:val="28"/>
        </w:rPr>
        <w:t> </w:t>
      </w:r>
      <w:r>
        <w:t>вопросам исполнения Областного закона от 28.12.2024 № 251-ЗС»</w:t>
      </w:r>
      <w:r>
        <w:t xml:space="preserve">, </w:t>
      </w:r>
      <w:r>
        <w:t xml:space="preserve">постановлением министерства строительства, архитектуры </w:t>
      </w:r>
      <w:r>
        <w:t>и территориального развития Ростовской области от 15.05.2025 № 13 «О</w:t>
      </w:r>
      <w:r>
        <w:rPr>
          <w:rFonts w:ascii="Times New Roman" w:hAnsi="Times New Roman"/>
          <w:spacing w:val="0"/>
          <w:sz w:val="28"/>
        </w:rPr>
        <w:t> </w:t>
      </w:r>
      <w:r>
        <w:t>комиссии по вопросам градостроительного зонирования</w:t>
      </w:r>
      <w:r>
        <w:t>»</w:t>
      </w:r>
      <w:r>
        <w:t xml:space="preserve">, </w:t>
      </w:r>
      <w:r>
        <w:t>Административным регламентом предоставления государственной услуги «Предоставление разрешения на</w:t>
      </w:r>
      <w:r>
        <w:rPr>
          <w:rFonts w:ascii="Times New Roman" w:hAnsi="Times New Roman"/>
          <w:spacing w:val="0"/>
          <w:sz w:val="28"/>
        </w:rPr>
        <w:t> </w:t>
      </w:r>
      <w:r>
        <w:t>условно разрешенный вид использования земельного участка или объекта капитального строительства»</w:t>
      </w:r>
      <w:r>
        <w:t xml:space="preserve">, утвержденным </w:t>
      </w:r>
      <w:r>
        <w:t>постановлением министерства строительства, арх</w:t>
      </w:r>
      <w:r>
        <w:t>итектуры</w:t>
      </w:r>
      <w:r>
        <w:rPr>
          <w:rFonts w:ascii="Times New Roman" w:hAnsi="Times New Roman"/>
          <w:spacing w:val="0"/>
          <w:sz w:val="28"/>
        </w:rPr>
        <w:t> </w:t>
      </w:r>
      <w:r>
        <w:t>и</w:t>
      </w:r>
      <w:r>
        <w:rPr>
          <w:rFonts w:ascii="Times New Roman" w:hAnsi="Times New Roman"/>
          <w:spacing w:val="0"/>
          <w:sz w:val="28"/>
        </w:rPr>
        <w:t> </w:t>
      </w:r>
      <w:r>
        <w:t>территориального развития Ростовской области от</w:t>
      </w:r>
      <w:r>
        <w:rPr>
          <w:rFonts w:ascii="Times New Roman" w:hAnsi="Times New Roman"/>
          <w:spacing w:val="0"/>
          <w:sz w:val="28"/>
        </w:rPr>
        <w:t> </w:t>
      </w:r>
      <w:r>
        <w:t>31.07.2025 № 21</w:t>
      </w:r>
      <w:r>
        <w:t xml:space="preserve"> (далее – Административный регламент),</w:t>
      </w:r>
      <w:r>
        <w:rPr>
          <w:strike w:val="0"/>
        </w:rPr>
        <w:t xml:space="preserve"> </w:t>
      </w:r>
      <w:r>
        <w:t>П</w:t>
      </w:r>
      <w:r>
        <w:t xml:space="preserve">равилами </w:t>
      </w:r>
      <w:r>
        <w:t>землеполь</w:t>
      </w:r>
      <w:r>
        <w:rPr>
          <w:rStyle w:val="Style_3_ch"/>
        </w:rPr>
        <w:t xml:space="preserve">зования и застройки </w:t>
      </w:r>
      <w:r>
        <w:rPr>
          <w:rStyle w:val="Style_3_ch"/>
        </w:rPr>
        <w:t>муниципального образова</w:t>
      </w:r>
      <w:r>
        <w:rPr>
          <w:rStyle w:val="Style_3_ch"/>
        </w:rPr>
        <w:t>ния</w:t>
      </w:r>
      <w:r>
        <w:rPr>
          <w:rStyle w:val="Style_3_ch"/>
        </w:rPr>
        <w:t xml:space="preserve"> «Город Батайск»</w:t>
      </w:r>
      <w:r>
        <w:rPr>
          <w:rStyle w:val="Style_3_ch"/>
        </w:rPr>
        <w:t>, утвержденными решением Батайской</w:t>
      </w:r>
      <w:r>
        <w:rPr>
          <w:rStyle w:val="Style_3_ch"/>
        </w:rPr>
        <w:t xml:space="preserve"> городской Думы от 16.12.2020 № 91</w:t>
      </w:r>
      <w:r>
        <w:rPr>
          <w:strike w:val="0"/>
        </w:rPr>
        <w:t xml:space="preserve">, </w:t>
      </w:r>
      <w:r>
        <w:rPr>
          <w:strike w:val="0"/>
        </w:rPr>
        <w:t>уч</w:t>
      </w:r>
      <w:r>
        <w:rPr>
          <w:strike w:val="0"/>
        </w:rPr>
        <w:t xml:space="preserve">итывая заключение </w:t>
      </w:r>
      <w:r>
        <w:rPr>
          <w:strike w:val="0"/>
        </w:rPr>
        <w:t>о</w:t>
      </w:r>
      <w:r>
        <w:rPr>
          <w:strike w:val="0"/>
        </w:rPr>
        <w:t xml:space="preserve"> результата</w:t>
      </w:r>
      <w:r>
        <w:rPr>
          <w:strike w:val="0"/>
        </w:rPr>
        <w:t>х</w:t>
      </w:r>
      <w:r>
        <w:rPr>
          <w:strike w:val="0"/>
        </w:rPr>
        <w:t xml:space="preserve"> публичных слушаний</w:t>
      </w:r>
      <w:r>
        <w:rPr>
          <w:strike w:val="0"/>
        </w:rPr>
        <w:t xml:space="preserve"> </w:t>
      </w:r>
      <w:r>
        <w:rPr>
          <w:strike w:val="0"/>
        </w:rPr>
        <w:t xml:space="preserve">от </w:t>
      </w:r>
      <w:r>
        <w:rPr>
          <w:strike w:val="0"/>
        </w:rPr>
        <w:t>_________</w:t>
      </w:r>
      <w:r>
        <w:rPr>
          <w:strike w:val="0"/>
        </w:rPr>
        <w:t>,</w:t>
      </w:r>
      <w:r>
        <w:rPr>
          <w:strike w:val="0"/>
        </w:rPr>
        <w:t xml:space="preserve"> </w:t>
      </w:r>
      <w:r>
        <w:rPr>
          <w:strike w:val="0"/>
        </w:rPr>
        <w:t>рекомендации комиссии по вопросам градостроительного зонирования</w:t>
      </w:r>
      <w:r>
        <w:rPr>
          <w:strike w:val="0"/>
        </w:rPr>
        <w:t xml:space="preserve"> (протокол </w:t>
      </w:r>
      <w:r>
        <w:rPr>
          <w:strike w:val="0"/>
        </w:rPr>
        <w:t>от</w:t>
      </w:r>
      <w:r>
        <w:rPr>
          <w:rFonts w:ascii="Times New Roman" w:hAnsi="Times New Roman"/>
          <w:strike w:val="0"/>
          <w:spacing w:val="0"/>
          <w:sz w:val="28"/>
        </w:rPr>
        <w:t> </w:t>
      </w:r>
      <w:r>
        <w:rPr>
          <w:strike w:val="0"/>
        </w:rPr>
        <w:t>24.02.2026</w:t>
      </w:r>
      <w:r>
        <w:rPr>
          <w:strike w:val="0"/>
        </w:rPr>
        <w:t xml:space="preserve"> </w:t>
      </w:r>
      <w:r>
        <w:rPr>
          <w:strike w:val="0"/>
        </w:rPr>
        <w:t>№</w:t>
      </w:r>
      <w:r>
        <w:rPr>
          <w:strike w:val="0"/>
        </w:rPr>
        <w:t xml:space="preserve"> Г/3-2026</w:t>
      </w:r>
      <w:r>
        <w:rPr>
          <w:strike w:val="0"/>
        </w:rPr>
        <w:t xml:space="preserve">), </w:t>
      </w:r>
      <w:r>
        <w:rPr>
          <w:strike w:val="0"/>
        </w:rPr>
        <w:t>на</w:t>
      </w:r>
      <w:r>
        <w:rPr>
          <w:rFonts w:ascii="Times New Roman" w:hAnsi="Times New Roman"/>
          <w:strike w:val="0"/>
          <w:spacing w:val="0"/>
          <w:sz w:val="28"/>
        </w:rPr>
        <w:t> </w:t>
      </w:r>
      <w:r>
        <w:rPr>
          <w:strike w:val="0"/>
        </w:rPr>
        <w:t xml:space="preserve">основании </w:t>
      </w:r>
      <w:r>
        <w:rPr>
          <w:strike w:val="0"/>
        </w:rPr>
        <w:t>заявлени</w:t>
      </w:r>
      <w:r>
        <w:rPr>
          <w:strike w:val="0"/>
        </w:rPr>
        <w:t>я</w:t>
      </w:r>
      <w:r>
        <w:rPr>
          <w:strike w:val="0"/>
        </w:rPr>
        <w:t xml:space="preserve"> от 06.02.2026 </w:t>
      </w:r>
      <w:r>
        <w:rPr>
          <w:strike w:val="0"/>
        </w:rPr>
        <w:br/>
      </w:r>
      <w:r>
        <w:rPr>
          <w:strike w:val="0"/>
        </w:rPr>
        <w:t>№</w:t>
      </w:r>
      <w:r>
        <w:rPr>
          <w:rFonts w:ascii="Times New Roman" w:hAnsi="Times New Roman"/>
          <w:spacing w:val="0"/>
          <w:sz w:val="28"/>
        </w:rPr>
        <w:t> </w:t>
      </w:r>
      <w:r>
        <w:t>РУРВИ-</w:t>
      </w:r>
      <w:r>
        <w:t>7</w:t>
      </w:r>
      <w:r>
        <w:rPr>
          <w:strike w:val="0"/>
        </w:rPr>
        <w:t>:</w:t>
      </w:r>
    </w:p>
    <w:p w14:paraId="12000000">
      <w:pPr>
        <w:widowControl w:val="1"/>
        <w:ind w:firstLine="700" w:left="0"/>
        <w:jc w:val="both"/>
        <w:rPr>
          <w:strike w:val="0"/>
        </w:rPr>
      </w:pPr>
    </w:p>
    <w:p w14:paraId="13000000">
      <w:pPr>
        <w:widowControl w:val="1"/>
        <w:ind w:firstLine="700" w:left="0"/>
        <w:jc w:val="both"/>
        <w:rPr>
          <w:strike w:val="0"/>
        </w:rPr>
      </w:pPr>
      <w:r>
        <w:rPr>
          <w:strike w:val="0"/>
        </w:rPr>
        <w:t>1. </w:t>
      </w:r>
      <w:r>
        <w:rPr>
          <w:strike w:val="0"/>
        </w:rPr>
        <w:t>Предоставить разрешение на</w:t>
      </w:r>
      <w:r>
        <w:rPr>
          <w:b w:val="0"/>
        </w:rPr>
        <w:t xml:space="preserve"> условно разрешенный вид использования «</w:t>
      </w:r>
      <w:r>
        <w:rPr>
          <w:sz w:val="28"/>
        </w:rPr>
        <w:t>код 4.4. Магазины»</w:t>
      </w:r>
      <w:r>
        <w:rPr>
          <w:rStyle w:val="Style_3_ch"/>
          <w:rFonts w:ascii="Times New Roman" w:hAnsi="Times New Roman"/>
          <w:sz w:val="28"/>
        </w:rPr>
        <w:t xml:space="preserve"> </w:t>
      </w:r>
      <w:r>
        <w:rPr>
          <w:rStyle w:val="Style_3_ch"/>
          <w:rFonts w:ascii="Times New Roman" w:hAnsi="Times New Roman"/>
          <w:sz w:val="28"/>
        </w:rPr>
        <w:t>земельного участка с</w:t>
      </w:r>
      <w:r>
        <w:rPr>
          <w:rFonts w:ascii="Times New Roman" w:hAnsi="Times New Roman"/>
          <w:spacing w:val="0"/>
          <w:sz w:val="28"/>
        </w:rPr>
        <w:t> </w:t>
      </w:r>
      <w:r>
        <w:rPr>
          <w:rStyle w:val="Style_3_ch"/>
          <w:rFonts w:ascii="Times New Roman" w:hAnsi="Times New Roman"/>
          <w:sz w:val="28"/>
        </w:rPr>
        <w:t xml:space="preserve">кадастровым номером </w:t>
      </w:r>
      <w:r>
        <w:rPr>
          <w:rStyle w:val="Style_3_ch"/>
          <w:b w:val="0"/>
          <w:sz w:val="28"/>
        </w:rPr>
        <w:t>61:46:0010306:2345,</w:t>
      </w:r>
      <w:r>
        <w:rPr>
          <w:rStyle w:val="Style_3_ch"/>
          <w:rFonts w:ascii="Times New Roman" w:hAnsi="Times New Roman"/>
          <w:sz w:val="28"/>
        </w:rPr>
        <w:t xml:space="preserve"> расположенного по адресу: </w:t>
      </w:r>
      <w:r>
        <w:rPr>
          <w:rStyle w:val="Style_3_ch"/>
          <w:rFonts w:ascii="Times New Roman" w:hAnsi="Times New Roman"/>
          <w:b w:val="0"/>
          <w:sz w:val="28"/>
        </w:rPr>
        <w:t>Российская Федерация,</w:t>
      </w:r>
      <w:r>
        <w:rPr>
          <w:rStyle w:val="Style_3_ch"/>
          <w:rFonts w:ascii="Times New Roman" w:hAnsi="Times New Roman"/>
          <w:b w:val="0"/>
          <w:sz w:val="28"/>
        </w:rPr>
        <w:t xml:space="preserve"> Ростовская область,</w:t>
      </w:r>
      <w:r>
        <w:rPr>
          <w:rStyle w:val="Style_3_ch"/>
          <w:rFonts w:ascii="Times New Roman" w:hAnsi="Times New Roman"/>
          <w:b w:val="0"/>
          <w:sz w:val="28"/>
        </w:rPr>
        <w:t xml:space="preserve"> г.</w:t>
      </w:r>
      <w:r>
        <w:rPr>
          <w:rStyle w:val="Style_3_ch"/>
          <w:rFonts w:ascii="Times New Roman" w:hAnsi="Times New Roman"/>
          <w:b w:val="0"/>
          <w:sz w:val="28"/>
        </w:rPr>
        <w:t> </w:t>
      </w:r>
      <w:r>
        <w:rPr>
          <w:rStyle w:val="Style_3_ch"/>
          <w:rFonts w:ascii="Times New Roman" w:hAnsi="Times New Roman"/>
          <w:b w:val="0"/>
          <w:sz w:val="28"/>
        </w:rPr>
        <w:t>Батайск, ул.</w:t>
      </w:r>
      <w:r>
        <w:rPr>
          <w:rStyle w:val="Style_3_ch"/>
          <w:rFonts w:ascii="Times New Roman" w:hAnsi="Times New Roman"/>
          <w:b w:val="0"/>
          <w:sz w:val="28"/>
        </w:rPr>
        <w:t> </w:t>
      </w:r>
      <w:r>
        <w:rPr>
          <w:rStyle w:val="Style_3_ch"/>
          <w:rFonts w:ascii="Times New Roman" w:hAnsi="Times New Roman"/>
          <w:b w:val="0"/>
          <w:sz w:val="28"/>
        </w:rPr>
        <w:t>Севастопольская</w:t>
      </w:r>
      <w:r>
        <w:rPr>
          <w:sz w:val="28"/>
        </w:rPr>
        <w:t>.</w:t>
      </w:r>
    </w:p>
    <w:p w14:paraId="14000000">
      <w:pPr>
        <w:widowControl w:val="1"/>
        <w:ind w:firstLine="700" w:left="0"/>
        <w:jc w:val="both"/>
        <w:rPr>
          <w:strike w:val="0"/>
        </w:rPr>
      </w:pPr>
      <w:r>
        <w:rPr>
          <w:rStyle w:val="Style_3_ch"/>
        </w:rPr>
        <w:t>2</w:t>
      </w:r>
      <w:r>
        <w:rPr>
          <w:rStyle w:val="Style_3_ch"/>
        </w:rPr>
        <w:t>.</w:t>
      </w:r>
      <w:r>
        <w:rPr>
          <w:rStyle w:val="Style_3_ch"/>
        </w:rPr>
        <w:t> </w:t>
      </w:r>
      <w:r>
        <w:rPr>
          <w:rStyle w:val="Style_3_ch"/>
        </w:rPr>
        <w:t>Управлен</w:t>
      </w:r>
      <w:r>
        <w:rPr>
          <w:rStyle w:val="Style_3_ch"/>
        </w:rPr>
        <w:t>ию организационной работы, материально-технического обеспечения и делопроизводства</w:t>
      </w:r>
      <w:r>
        <w:rPr>
          <w:rStyle w:val="Style_3_ch"/>
        </w:rPr>
        <w:t xml:space="preserve"> обеспечить размещение</w:t>
      </w:r>
      <w:r>
        <w:rPr>
          <w:rStyle w:val="Style_3_ch"/>
        </w:rPr>
        <w:t xml:space="preserve"> настоящего распоряжения на официа</w:t>
      </w:r>
      <w:r>
        <w:t>льном сайте министерства строительства, архитектуры и территориального развития Ростовской области</w:t>
      </w:r>
      <w:r>
        <w:t xml:space="preserve"> в</w:t>
      </w:r>
      <w:r>
        <w:rPr>
          <w:rFonts w:ascii="Times New Roman" w:hAnsi="Times New Roman"/>
          <w:spacing w:val="0"/>
          <w:sz w:val="28"/>
        </w:rPr>
        <w:t> </w:t>
      </w:r>
      <w:r>
        <w:t>информационно-телекоммуникационной сети «Интернет», управлению градостроительного развития агломерации и архитектуры в установленном порядке обеспечить опубликование настоящего распоряжения и направление в Администрацию города Батайска копии настоящего распоряжения.</w:t>
      </w:r>
    </w:p>
    <w:p w14:paraId="15000000">
      <w:pPr>
        <w:widowControl w:val="1"/>
        <w:ind w:firstLine="700" w:left="0"/>
        <w:jc w:val="both"/>
        <w:rPr>
          <w:strike w:val="0"/>
        </w:rPr>
      </w:pPr>
      <w:r>
        <w:t>3.</w:t>
      </w:r>
      <w:r>
        <w:rPr>
          <w:rFonts w:ascii="Times New Roman" w:hAnsi="Times New Roman"/>
          <w:spacing w:val="0"/>
          <w:sz w:val="28"/>
        </w:rPr>
        <w:t> </w:t>
      </w:r>
      <w:r>
        <w:t xml:space="preserve">Контроль за исполнением настоящего распоряжения оставляю </w:t>
      </w:r>
      <w:r>
        <w:t>за</w:t>
      </w:r>
      <w:r>
        <w:rPr>
          <w:rFonts w:ascii="Times New Roman" w:hAnsi="Times New Roman"/>
          <w:spacing w:val="0"/>
          <w:sz w:val="28"/>
        </w:rPr>
        <w:t> </w:t>
      </w:r>
      <w:r>
        <w:t>собой.</w:t>
      </w:r>
    </w:p>
    <w:p w14:paraId="16000000">
      <w:pPr>
        <w:widowControl w:val="1"/>
        <w:ind w:firstLine="700" w:left="0"/>
        <w:jc w:val="both"/>
      </w:pPr>
    </w:p>
    <w:p w14:paraId="17000000">
      <w:pPr>
        <w:widowControl w:val="1"/>
        <w:ind w:firstLine="700" w:left="0"/>
        <w:jc w:val="both"/>
      </w:pPr>
    </w:p>
    <w:p w14:paraId="18000000">
      <w:pPr>
        <w:widowControl w:val="1"/>
        <w:ind w:firstLine="700" w:left="0"/>
        <w:jc w:val="both"/>
      </w:pPr>
    </w:p>
    <w:tbl>
      <w:tblPr>
        <w:tblStyle w:val="Style_2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127"/>
        <w:gridCol w:w="1962"/>
        <w:gridCol w:w="3266"/>
      </w:tblGrid>
      <w:tr>
        <w:trPr>
          <w:trHeight w:hRule="atLeast" w:val="360"/>
        </w:trPr>
        <w:tc>
          <w:tcPr>
            <w:tcW w:type="dxa" w:w="412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9000000">
            <w:pPr>
              <w:widowControl w:val="1"/>
              <w:ind w:firstLine="0" w:left="3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Заместитель министра </w:t>
            </w:r>
            <w:r>
              <w:rPr>
                <w:sz w:val="28"/>
              </w:rPr>
              <w:t>строительства, архитектуры</w:t>
            </w:r>
          </w:p>
          <w:p w14:paraId="1A000000">
            <w:pPr>
              <w:widowControl w:val="1"/>
              <w:ind w:firstLine="0" w:left="37"/>
              <w:jc w:val="center"/>
              <w:rPr>
                <w:sz w:val="28"/>
              </w:rPr>
            </w:pPr>
            <w:r>
              <w:rPr>
                <w:sz w:val="28"/>
              </w:rPr>
              <w:t>и территориального развития</w:t>
            </w:r>
          </w:p>
          <w:p w14:paraId="1B000000">
            <w:pPr>
              <w:widowControl w:val="1"/>
              <w:ind w:firstLine="0" w:left="37"/>
              <w:jc w:val="center"/>
              <w:rPr>
                <w:sz w:val="28"/>
              </w:rPr>
            </w:pPr>
            <w:r>
              <w:rPr>
                <w:sz w:val="28"/>
              </w:rPr>
              <w:t>Ростовской области –</w:t>
            </w:r>
          </w:p>
          <w:p w14:paraId="1C000000">
            <w:pPr>
              <w:widowControl w:val="1"/>
              <w:ind w:firstLine="0" w:left="3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главный архитектор </w:t>
            </w:r>
          </w:p>
          <w:p w14:paraId="1D000000">
            <w:pPr>
              <w:widowControl w:val="1"/>
              <w:ind w:firstLine="0" w:left="37"/>
              <w:jc w:val="center"/>
              <w:rPr>
                <w:sz w:val="28"/>
              </w:rPr>
            </w:pPr>
            <w:r>
              <w:rPr>
                <w:sz w:val="28"/>
              </w:rPr>
              <w:t>Ростовской области</w:t>
            </w:r>
          </w:p>
        </w:tc>
        <w:tc>
          <w:tcPr>
            <w:tcW w:type="dxa" w:w="1962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3266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/>
          <w:p w14:paraId="1F000000"/>
          <w:p w14:paraId="20000000"/>
          <w:p w14:paraId="21000000"/>
          <w:p w14:paraId="22000000"/>
          <w:p w14:paraId="23000000">
            <w:pPr>
              <w:widowControl w:val="1"/>
              <w:ind w:firstLine="0" w:left="0" w:right="31"/>
              <w:jc w:val="right"/>
              <w:rPr>
                <w:sz w:val="28"/>
              </w:rPr>
            </w:pPr>
            <w:r>
              <w:rPr>
                <w:sz w:val="28"/>
              </w:rPr>
              <w:t>Г.А. Алексеев-Малахов</w:t>
            </w:r>
          </w:p>
        </w:tc>
      </w:tr>
    </w:tbl>
    <w:p w14:paraId="24000000">
      <w:pPr>
        <w:widowControl w:val="1"/>
        <w:ind/>
        <w:jc w:val="both"/>
        <w:rPr>
          <w:sz w:val="20"/>
        </w:rPr>
      </w:pPr>
    </w:p>
    <w:p w14:paraId="25000000">
      <w:pPr>
        <w:widowControl w:val="1"/>
        <w:ind/>
        <w:jc w:val="both"/>
        <w:rPr>
          <w:sz w:val="20"/>
        </w:rPr>
      </w:pPr>
    </w:p>
    <w:p w14:paraId="26000000">
      <w:pPr>
        <w:widowControl w:val="1"/>
        <w:ind/>
        <w:jc w:val="both"/>
        <w:rPr>
          <w:sz w:val="20"/>
        </w:rPr>
      </w:pPr>
    </w:p>
    <w:p w14:paraId="27000000">
      <w:pPr>
        <w:widowControl w:val="1"/>
        <w:ind/>
        <w:jc w:val="both"/>
        <w:rPr>
          <w:sz w:val="20"/>
        </w:rPr>
      </w:pPr>
    </w:p>
    <w:p w14:paraId="28000000">
      <w:pPr>
        <w:widowControl w:val="1"/>
        <w:ind/>
        <w:jc w:val="both"/>
        <w:rPr>
          <w:sz w:val="20"/>
        </w:rPr>
      </w:pPr>
    </w:p>
    <w:p w14:paraId="29000000">
      <w:pPr>
        <w:widowControl w:val="1"/>
        <w:ind/>
        <w:jc w:val="both"/>
        <w:rPr>
          <w:sz w:val="20"/>
        </w:rPr>
      </w:pPr>
    </w:p>
    <w:p w14:paraId="2A000000">
      <w:pPr>
        <w:widowControl w:val="1"/>
        <w:ind/>
        <w:jc w:val="both"/>
        <w:rPr>
          <w:sz w:val="20"/>
        </w:rPr>
      </w:pPr>
    </w:p>
    <w:p w14:paraId="2B000000">
      <w:pPr>
        <w:widowControl w:val="1"/>
        <w:ind/>
        <w:jc w:val="both"/>
        <w:rPr>
          <w:sz w:val="20"/>
        </w:rPr>
      </w:pPr>
    </w:p>
    <w:p w14:paraId="2C000000">
      <w:pPr>
        <w:widowControl w:val="1"/>
        <w:ind/>
        <w:jc w:val="both"/>
        <w:rPr>
          <w:sz w:val="20"/>
        </w:rPr>
      </w:pPr>
    </w:p>
    <w:p w14:paraId="2D000000">
      <w:pPr>
        <w:widowControl w:val="1"/>
        <w:ind/>
        <w:jc w:val="both"/>
        <w:rPr>
          <w:sz w:val="20"/>
        </w:rPr>
      </w:pPr>
    </w:p>
    <w:p w14:paraId="2E000000">
      <w:pPr>
        <w:widowControl w:val="1"/>
        <w:ind/>
        <w:jc w:val="both"/>
        <w:rPr>
          <w:sz w:val="20"/>
        </w:rPr>
      </w:pPr>
    </w:p>
    <w:p w14:paraId="2F000000">
      <w:pPr>
        <w:widowControl w:val="1"/>
        <w:ind/>
        <w:jc w:val="both"/>
        <w:rPr>
          <w:sz w:val="20"/>
        </w:rPr>
      </w:pPr>
    </w:p>
    <w:p w14:paraId="30000000">
      <w:pPr>
        <w:widowControl w:val="1"/>
        <w:ind/>
        <w:jc w:val="both"/>
        <w:rPr>
          <w:sz w:val="20"/>
        </w:rPr>
      </w:pPr>
    </w:p>
    <w:p w14:paraId="31000000">
      <w:pPr>
        <w:widowControl w:val="1"/>
        <w:ind/>
        <w:jc w:val="both"/>
        <w:rPr>
          <w:sz w:val="20"/>
        </w:rPr>
      </w:pPr>
    </w:p>
    <w:p w14:paraId="32000000">
      <w:pPr>
        <w:widowControl w:val="1"/>
        <w:ind/>
        <w:jc w:val="both"/>
        <w:rPr>
          <w:sz w:val="20"/>
        </w:rPr>
      </w:pPr>
    </w:p>
    <w:p w14:paraId="33000000">
      <w:pPr>
        <w:widowControl w:val="1"/>
        <w:ind/>
        <w:jc w:val="both"/>
        <w:rPr>
          <w:sz w:val="20"/>
        </w:rPr>
      </w:pPr>
    </w:p>
    <w:p w14:paraId="34000000">
      <w:pPr>
        <w:widowControl w:val="1"/>
        <w:ind/>
        <w:jc w:val="both"/>
        <w:rPr>
          <w:sz w:val="20"/>
        </w:rPr>
      </w:pPr>
    </w:p>
    <w:p w14:paraId="35000000">
      <w:pPr>
        <w:widowControl w:val="1"/>
        <w:ind/>
        <w:jc w:val="both"/>
        <w:rPr>
          <w:sz w:val="20"/>
        </w:rPr>
      </w:pPr>
    </w:p>
    <w:p w14:paraId="36000000">
      <w:pPr>
        <w:widowControl w:val="1"/>
        <w:ind/>
        <w:jc w:val="both"/>
        <w:rPr>
          <w:sz w:val="20"/>
        </w:rPr>
      </w:pPr>
    </w:p>
    <w:p w14:paraId="37000000">
      <w:pPr>
        <w:widowControl w:val="1"/>
        <w:ind/>
        <w:jc w:val="both"/>
        <w:rPr>
          <w:sz w:val="20"/>
        </w:rPr>
      </w:pPr>
    </w:p>
    <w:p w14:paraId="38000000">
      <w:pPr>
        <w:widowControl w:val="1"/>
        <w:ind/>
        <w:jc w:val="both"/>
        <w:rPr>
          <w:sz w:val="20"/>
        </w:rPr>
      </w:pPr>
    </w:p>
    <w:p w14:paraId="39000000">
      <w:pPr>
        <w:widowControl w:val="1"/>
        <w:ind/>
        <w:jc w:val="both"/>
        <w:rPr>
          <w:sz w:val="20"/>
        </w:rPr>
      </w:pPr>
    </w:p>
    <w:p w14:paraId="3A000000">
      <w:pPr>
        <w:pStyle w:val="Style_3"/>
        <w:widowControl w:val="1"/>
        <w:ind w:firstLine="0" w:left="0"/>
        <w:jc w:val="both"/>
        <w:rPr>
          <w:sz w:val="20"/>
        </w:rPr>
      </w:pPr>
      <w:bookmarkEnd w:id="1"/>
    </w:p>
    <w:p w14:paraId="3B000000">
      <w:pPr>
        <w:pStyle w:val="Style_3"/>
        <w:widowControl w:val="1"/>
        <w:ind w:firstLine="0" w:left="0"/>
        <w:jc w:val="both"/>
      </w:pPr>
      <w:r>
        <w:t xml:space="preserve">Распоряжение вносит </w:t>
      </w:r>
    </w:p>
    <w:p w14:paraId="3C000000">
      <w:pPr>
        <w:widowControl w:val="0"/>
        <w:ind/>
        <w:jc w:val="both"/>
      </w:pPr>
      <w:r>
        <w:t xml:space="preserve">отдел </w:t>
      </w:r>
      <w:r>
        <w:t xml:space="preserve">территориального </w:t>
      </w:r>
    </w:p>
    <w:p w14:paraId="3D000000">
      <w:pPr>
        <w:widowControl w:val="0"/>
        <w:ind/>
        <w:jc w:val="both"/>
      </w:pPr>
      <w:r>
        <w:t xml:space="preserve">планирования и градостроительного </w:t>
      </w:r>
    </w:p>
    <w:p w14:paraId="3E000000">
      <w:pPr>
        <w:widowControl w:val="1"/>
        <w:ind/>
        <w:jc w:val="both"/>
      </w:pPr>
      <w:r>
        <w:t>зонирования агломерации</w:t>
      </w:r>
    </w:p>
    <w:p w14:paraId="3F000000">
      <w:pPr>
        <w:widowControl w:val="1"/>
        <w:ind/>
        <w:jc w:val="both"/>
      </w:pPr>
    </w:p>
    <w:sectPr>
      <w:headerReference r:id="rId1" w:type="default"/>
      <w:headerReference r:id="rId2" w:type="first"/>
      <w:pgSz w:h="16838" w:orient="portrait" w:w="11906"/>
      <w:pgMar w:bottom="1134" w:footer="708" w:gutter="0" w:header="708" w:left="1701" w:right="850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rPr>
        <w:rFonts w:ascii="Times New Roman" w:hAnsi="Times New Roman"/>
      </w:rPr>
    </w:pPr>
    <w:r>
      <w:rPr>
        <w:rFonts w:ascii="Times New Roman" w:hAnsi="Times New Roman"/>
      </w:rPr>
      <w:t xml:space="preserve">                                                                                                                         </w: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rPr>
        <w:rFonts w:ascii="Times New Roman" w:hAnsi="Times New Roman"/>
      </w:rPr>
    </w:pPr>
    <w:r>
      <w:rPr>
        <w:rFonts w:ascii="Times New Roman" w:hAnsi="Times New Roman"/>
      </w:rPr>
      <w:t xml:space="preserve">                                                                                                                       </w:t>
    </w:r>
    <w:r>
      <w:rPr>
        <w:rFonts w:ascii="Times New Roman" w:hAnsi="Times New Roman"/>
        <w:b w:val="1"/>
        <w:sz w:val="32"/>
      </w:rPr>
      <w:t>проект</w: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0" w:line="240" w:lineRule="auto"/>
      <w:ind/>
    </w:pPr>
    <w:rPr>
      <w:rFonts w:ascii="Times New Roman" w:hAnsi="Times New Roman"/>
      <w:color w:val="000000"/>
      <w:sz w:val="28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8"/>
    </w:rPr>
  </w:style>
  <w:style w:styleId="Style_4" w:type="paragraph">
    <w:name w:val="toc 2"/>
    <w:next w:val="Style_3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ing 7"/>
    <w:basedOn w:val="Style_3"/>
    <w:next w:val="Style_3"/>
    <w:link w:val="Style_6_ch"/>
    <w:uiPriority w:val="9"/>
    <w:qFormat/>
    <w:pPr>
      <w:keepNext w:val="1"/>
      <w:keepLines w:val="1"/>
      <w:widowControl w:val="1"/>
      <w:spacing w:before="40" w:line="264" w:lineRule="auto"/>
      <w:ind/>
      <w:outlineLvl w:val="6"/>
    </w:pPr>
    <w:rPr>
      <w:rFonts w:asciiTheme="minorAscii" w:hAnsiTheme="minorHAnsi"/>
      <w:color w:themeColor="text1" w:themeTint="A6" w:val="595959"/>
      <w:sz w:val="22"/>
    </w:rPr>
  </w:style>
  <w:style w:styleId="Style_6_ch" w:type="character">
    <w:name w:val="heading 7"/>
    <w:basedOn w:val="Style_3_ch"/>
    <w:link w:val="Style_6"/>
    <w:rPr>
      <w:rFonts w:asciiTheme="minorAscii" w:hAnsiTheme="minorHAnsi"/>
      <w:color w:themeColor="text1" w:themeTint="A6" w:val="595959"/>
      <w:sz w:val="22"/>
    </w:rPr>
  </w:style>
  <w:style w:styleId="Style_7" w:type="paragraph">
    <w:name w:val="toc 6"/>
    <w:next w:val="Style_3"/>
    <w:link w:val="Style_7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List Paragraph"/>
    <w:basedOn w:val="Style_3"/>
    <w:link w:val="Style_9_ch"/>
    <w:pPr>
      <w:widowControl w:val="1"/>
      <w:spacing w:after="160" w:line="264" w:lineRule="auto"/>
      <w:ind w:firstLine="0" w:left="720"/>
      <w:contextualSpacing w:val="1"/>
    </w:pPr>
    <w:rPr>
      <w:rFonts w:asciiTheme="minorAscii" w:hAnsiTheme="minorHAnsi"/>
      <w:color w:val="000000"/>
      <w:sz w:val="22"/>
    </w:rPr>
  </w:style>
  <w:style w:styleId="Style_9_ch" w:type="character">
    <w:name w:val="List Paragraph"/>
    <w:basedOn w:val="Style_3_ch"/>
    <w:link w:val="Style_9"/>
    <w:rPr>
      <w:rFonts w:asciiTheme="minorAscii" w:hAnsiTheme="minorHAnsi"/>
      <w:color w:val="000000"/>
      <w:sz w:val="22"/>
    </w:rPr>
  </w:style>
  <w:style w:styleId="Style_10" w:type="paragraph">
    <w:name w:val="Endnote"/>
    <w:link w:val="Style_10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basedOn w:val="Style_3"/>
    <w:next w:val="Style_3"/>
    <w:link w:val="Style_11_ch"/>
    <w:uiPriority w:val="9"/>
    <w:qFormat/>
    <w:pPr>
      <w:keepNext w:val="1"/>
      <w:keepLines w:val="1"/>
      <w:widowControl w:val="1"/>
      <w:spacing w:after="80" w:before="160" w:line="264" w:lineRule="auto"/>
      <w:ind/>
      <w:outlineLvl w:val="2"/>
    </w:pPr>
    <w:rPr>
      <w:rFonts w:asciiTheme="minorAscii" w:hAnsiTheme="minorHAnsi"/>
      <w:color w:themeColor="accent1" w:themeShade="BF" w:val="2F5496"/>
    </w:rPr>
  </w:style>
  <w:style w:styleId="Style_11_ch" w:type="character">
    <w:name w:val="heading 3"/>
    <w:basedOn w:val="Style_3_ch"/>
    <w:link w:val="Style_11"/>
    <w:rPr>
      <w:rFonts w:asciiTheme="minorAscii" w:hAnsiTheme="minorHAnsi"/>
      <w:color w:themeColor="accent1" w:themeShade="BF" w:val="2F5496"/>
    </w:rPr>
  </w:style>
  <w:style w:styleId="Style_12" w:type="paragraph">
    <w:name w:val="heading 9"/>
    <w:basedOn w:val="Style_3"/>
    <w:next w:val="Style_3"/>
    <w:link w:val="Style_12_ch"/>
    <w:uiPriority w:val="9"/>
    <w:qFormat/>
    <w:pPr>
      <w:keepNext w:val="1"/>
      <w:keepLines w:val="1"/>
      <w:widowControl w:val="1"/>
      <w:spacing w:line="264" w:lineRule="auto"/>
      <w:ind/>
      <w:outlineLvl w:val="8"/>
    </w:pPr>
    <w:rPr>
      <w:rFonts w:asciiTheme="minorAscii" w:hAnsiTheme="minorHAnsi"/>
      <w:color w:themeColor="text1" w:themeTint="D8" w:val="272727"/>
      <w:sz w:val="22"/>
    </w:rPr>
  </w:style>
  <w:style w:styleId="Style_12_ch" w:type="character">
    <w:name w:val="heading 9"/>
    <w:basedOn w:val="Style_3_ch"/>
    <w:link w:val="Style_12"/>
    <w:rPr>
      <w:rFonts w:asciiTheme="minorAscii" w:hAnsiTheme="minorHAnsi"/>
      <w:color w:themeColor="text1" w:themeTint="D8" w:val="272727"/>
      <w:sz w:val="22"/>
    </w:rPr>
  </w:style>
  <w:style w:styleId="Style_13" w:type="paragraph">
    <w:name w:val="toc 3"/>
    <w:next w:val="Style_3"/>
    <w:link w:val="Style_13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basedOn w:val="Style_3"/>
    <w:next w:val="Style_3"/>
    <w:link w:val="Style_14_ch"/>
    <w:uiPriority w:val="9"/>
    <w:qFormat/>
    <w:pPr>
      <w:keepNext w:val="1"/>
      <w:keepLines w:val="1"/>
      <w:widowControl w:val="1"/>
      <w:spacing w:after="40" w:before="80" w:line="264" w:lineRule="auto"/>
      <w:ind/>
      <w:outlineLvl w:val="4"/>
    </w:pPr>
    <w:rPr>
      <w:rFonts w:asciiTheme="minorAscii" w:hAnsiTheme="minorHAnsi"/>
      <w:color w:themeColor="accent1" w:themeShade="BF" w:val="2F5496"/>
      <w:sz w:val="22"/>
    </w:rPr>
  </w:style>
  <w:style w:styleId="Style_14_ch" w:type="character">
    <w:name w:val="heading 5"/>
    <w:basedOn w:val="Style_3_ch"/>
    <w:link w:val="Style_14"/>
    <w:rPr>
      <w:rFonts w:asciiTheme="minorAscii" w:hAnsiTheme="minorHAnsi"/>
      <w:color w:themeColor="accent1" w:themeShade="BF" w:val="2F5496"/>
      <w:sz w:val="22"/>
    </w:rPr>
  </w:style>
  <w:style w:styleId="Style_15" w:type="paragraph">
    <w:name w:val="heading 1"/>
    <w:basedOn w:val="Style_3"/>
    <w:next w:val="Style_3"/>
    <w:link w:val="Style_15_ch"/>
    <w:uiPriority w:val="9"/>
    <w:qFormat/>
    <w:pPr>
      <w:keepNext w:val="1"/>
      <w:keepLines w:val="1"/>
      <w:widowControl w:val="1"/>
      <w:spacing w:after="80" w:before="360" w:line="264" w:lineRule="auto"/>
      <w:ind/>
      <w:outlineLvl w:val="0"/>
    </w:pPr>
    <w:rPr>
      <w:rFonts w:asciiTheme="majorAscii" w:hAnsiTheme="majorHAnsi"/>
      <w:color w:themeColor="accent1" w:themeShade="BF" w:val="2F5496"/>
      <w:sz w:val="40"/>
    </w:rPr>
  </w:style>
  <w:style w:styleId="Style_15_ch" w:type="character">
    <w:name w:val="heading 1"/>
    <w:basedOn w:val="Style_3_ch"/>
    <w:link w:val="Style_15"/>
    <w:rPr>
      <w:rFonts w:asciiTheme="majorAscii" w:hAnsiTheme="majorHAnsi"/>
      <w:color w:themeColor="accent1" w:themeShade="BF" w:val="2F5496"/>
      <w:sz w:val="40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heading 8"/>
    <w:basedOn w:val="Style_3"/>
    <w:next w:val="Style_3"/>
    <w:link w:val="Style_18_ch"/>
    <w:uiPriority w:val="9"/>
    <w:qFormat/>
    <w:pPr>
      <w:keepNext w:val="1"/>
      <w:keepLines w:val="1"/>
      <w:widowControl w:val="1"/>
      <w:spacing w:line="264" w:lineRule="auto"/>
      <w:ind/>
      <w:outlineLvl w:val="7"/>
    </w:pPr>
    <w:rPr>
      <w:rFonts w:asciiTheme="minorAscii" w:hAnsiTheme="minorHAnsi"/>
      <w:i w:val="1"/>
      <w:color w:themeColor="text1" w:themeTint="D8" w:val="272727"/>
      <w:sz w:val="22"/>
    </w:rPr>
  </w:style>
  <w:style w:styleId="Style_18_ch" w:type="character">
    <w:name w:val="heading 8"/>
    <w:basedOn w:val="Style_3_ch"/>
    <w:link w:val="Style_18"/>
    <w:rPr>
      <w:rFonts w:asciiTheme="minorAscii" w:hAnsiTheme="minorHAnsi"/>
      <w:i w:val="1"/>
      <w:color w:themeColor="text1" w:themeTint="D8" w:val="272727"/>
      <w:sz w:val="22"/>
    </w:rPr>
  </w:style>
  <w:style w:styleId="Style_19" w:type="paragraph">
    <w:name w:val="toc 1"/>
    <w:next w:val="Style_3"/>
    <w:link w:val="Style_19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1" w:type="paragraph">
    <w:name w:val="Header and Footer"/>
    <w:link w:val="Style_1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_ch" w:type="character">
    <w:name w:val="Header and Footer"/>
    <w:link w:val="Style_1"/>
    <w:rPr>
      <w:rFonts w:ascii="XO Thames" w:hAnsi="XO Thames"/>
      <w:sz w:val="28"/>
    </w:rPr>
  </w:style>
  <w:style w:styleId="Style_20" w:type="paragraph">
    <w:name w:val="Default Paragraph Font"/>
    <w:link w:val="Style_20_ch"/>
  </w:style>
  <w:style w:styleId="Style_20_ch" w:type="character">
    <w:name w:val="Default Paragraph Font"/>
    <w:link w:val="Style_20"/>
  </w:style>
  <w:style w:styleId="Style_21" w:type="paragraph">
    <w:name w:val="toc 9"/>
    <w:next w:val="Style_3"/>
    <w:link w:val="Style_21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3"/>
    <w:link w:val="Style_22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Обычный1"/>
    <w:link w:val="Style_23_ch"/>
    <w:rPr>
      <w:rFonts w:ascii="Times New Roman" w:hAnsi="Times New Roman"/>
      <w:sz w:val="28"/>
    </w:rPr>
  </w:style>
  <w:style w:styleId="Style_23_ch" w:type="character">
    <w:name w:val="Обычный1"/>
    <w:link w:val="Style_23"/>
    <w:rPr>
      <w:rFonts w:ascii="Times New Roman" w:hAnsi="Times New Roman"/>
      <w:sz w:val="28"/>
    </w:rPr>
  </w:style>
  <w:style w:styleId="Style_24" w:type="paragraph">
    <w:name w:val="Intense Quote"/>
    <w:basedOn w:val="Style_3"/>
    <w:next w:val="Style_3"/>
    <w:link w:val="Style_24_ch"/>
    <w:pPr>
      <w:widowControl w:val="1"/>
      <w:spacing w:after="360" w:before="360" w:line="264" w:lineRule="auto"/>
      <w:ind w:firstLine="0" w:left="864" w:right="864"/>
      <w:jc w:val="center"/>
    </w:pPr>
    <w:rPr>
      <w:rFonts w:asciiTheme="minorAscii" w:hAnsiTheme="minorHAnsi"/>
      <w:i w:val="1"/>
      <w:color w:themeColor="accent1" w:themeShade="BF" w:val="2F5496"/>
      <w:sz w:val="22"/>
    </w:rPr>
  </w:style>
  <w:style w:styleId="Style_24_ch" w:type="character">
    <w:name w:val="Intense Quote"/>
    <w:basedOn w:val="Style_3_ch"/>
    <w:link w:val="Style_24"/>
    <w:rPr>
      <w:rFonts w:asciiTheme="minorAscii" w:hAnsiTheme="minorHAnsi"/>
      <w:i w:val="1"/>
      <w:color w:themeColor="accent1" w:themeShade="BF" w:val="2F5496"/>
      <w:sz w:val="22"/>
    </w:rPr>
  </w:style>
  <w:style w:styleId="Style_25" w:type="paragraph">
    <w:name w:val="Intense Emphasis"/>
    <w:basedOn w:val="Style_20"/>
    <w:link w:val="Style_25_ch"/>
    <w:rPr>
      <w:i w:val="1"/>
      <w:color w:themeColor="accent1" w:themeShade="BF" w:val="2F5496"/>
    </w:rPr>
  </w:style>
  <w:style w:styleId="Style_25_ch" w:type="character">
    <w:name w:val="Intense Emphasis"/>
    <w:basedOn w:val="Style_20_ch"/>
    <w:link w:val="Style_25"/>
    <w:rPr>
      <w:i w:val="1"/>
      <w:color w:themeColor="accent1" w:themeShade="BF" w:val="2F5496"/>
    </w:rPr>
  </w:style>
  <w:style w:styleId="Style_26" w:type="paragraph">
    <w:name w:val="Intense Reference"/>
    <w:basedOn w:val="Style_20"/>
    <w:link w:val="Style_26_ch"/>
    <w:rPr>
      <w:b w:val="1"/>
      <w:smallCaps w:val="1"/>
      <w:color w:themeColor="accent1" w:themeShade="BF" w:val="2F5496"/>
      <w:spacing w:val="5"/>
    </w:rPr>
  </w:style>
  <w:style w:styleId="Style_26_ch" w:type="character">
    <w:name w:val="Intense Reference"/>
    <w:basedOn w:val="Style_20_ch"/>
    <w:link w:val="Style_26"/>
    <w:rPr>
      <w:b w:val="1"/>
      <w:smallCaps w:val="1"/>
      <w:color w:themeColor="accent1" w:themeShade="BF" w:val="2F5496"/>
      <w:spacing w:val="5"/>
    </w:rPr>
  </w:style>
  <w:style w:styleId="Style_27" w:type="paragraph">
    <w:name w:val="toc 5"/>
    <w:next w:val="Style_3"/>
    <w:link w:val="Style_2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Subtitle"/>
    <w:basedOn w:val="Style_3"/>
    <w:next w:val="Style_3"/>
    <w:link w:val="Style_28_ch"/>
    <w:uiPriority w:val="11"/>
    <w:qFormat/>
    <w:pPr>
      <w:widowControl w:val="1"/>
      <w:numPr>
        <w:ilvl w:val="1"/>
      </w:numPr>
      <w:spacing w:after="160" w:line="264" w:lineRule="auto"/>
      <w:ind/>
    </w:pPr>
    <w:rPr>
      <w:rFonts w:asciiTheme="minorAscii" w:hAnsiTheme="minorHAnsi"/>
      <w:color w:themeColor="text1" w:themeTint="A6" w:val="595959"/>
      <w:spacing w:val="15"/>
    </w:rPr>
  </w:style>
  <w:style w:styleId="Style_28_ch" w:type="character">
    <w:name w:val="Subtitle"/>
    <w:basedOn w:val="Style_3_ch"/>
    <w:link w:val="Style_28"/>
    <w:rPr>
      <w:rFonts w:asciiTheme="minorAscii" w:hAnsiTheme="minorHAnsi"/>
      <w:color w:themeColor="text1" w:themeTint="A6" w:val="595959"/>
      <w:spacing w:val="15"/>
    </w:rPr>
  </w:style>
  <w:style w:styleId="Style_29" w:type="paragraph">
    <w:name w:val="Quote"/>
    <w:basedOn w:val="Style_3"/>
    <w:next w:val="Style_3"/>
    <w:link w:val="Style_29_ch"/>
    <w:pPr>
      <w:widowControl w:val="1"/>
      <w:spacing w:after="160" w:before="160" w:line="264" w:lineRule="auto"/>
      <w:ind/>
      <w:jc w:val="center"/>
    </w:pPr>
    <w:rPr>
      <w:rFonts w:asciiTheme="minorAscii" w:hAnsiTheme="minorHAnsi"/>
      <w:i w:val="1"/>
      <w:color w:themeColor="text1" w:themeTint="BF" w:val="404040"/>
      <w:sz w:val="22"/>
    </w:rPr>
  </w:style>
  <w:style w:styleId="Style_29_ch" w:type="character">
    <w:name w:val="Quote"/>
    <w:basedOn w:val="Style_3_ch"/>
    <w:link w:val="Style_29"/>
    <w:rPr>
      <w:rFonts w:asciiTheme="minorAscii" w:hAnsiTheme="minorHAnsi"/>
      <w:i w:val="1"/>
      <w:color w:themeColor="text1" w:themeTint="BF" w:val="404040"/>
      <w:sz w:val="22"/>
    </w:rPr>
  </w:style>
  <w:style w:styleId="Style_30" w:type="paragraph">
    <w:name w:val="Title"/>
    <w:basedOn w:val="Style_3"/>
    <w:next w:val="Style_3"/>
    <w:link w:val="Style_30_ch"/>
    <w:uiPriority w:val="10"/>
    <w:qFormat/>
    <w:pPr>
      <w:widowControl w:val="1"/>
      <w:spacing w:after="80"/>
      <w:ind/>
      <w:contextualSpacing w:val="1"/>
    </w:pPr>
    <w:rPr>
      <w:rFonts w:asciiTheme="majorAscii" w:hAnsiTheme="majorHAnsi"/>
      <w:color w:val="000000"/>
      <w:spacing w:val="-10"/>
      <w:sz w:val="56"/>
    </w:rPr>
  </w:style>
  <w:style w:styleId="Style_30_ch" w:type="character">
    <w:name w:val="Title"/>
    <w:basedOn w:val="Style_3_ch"/>
    <w:link w:val="Style_30"/>
    <w:rPr>
      <w:rFonts w:asciiTheme="majorAscii" w:hAnsiTheme="majorHAnsi"/>
      <w:color w:val="000000"/>
      <w:spacing w:val="-10"/>
      <w:sz w:val="56"/>
    </w:rPr>
  </w:style>
  <w:style w:styleId="Style_31" w:type="paragraph">
    <w:name w:val="heading 4"/>
    <w:basedOn w:val="Style_3"/>
    <w:next w:val="Style_3"/>
    <w:link w:val="Style_31_ch"/>
    <w:uiPriority w:val="9"/>
    <w:qFormat/>
    <w:pPr>
      <w:keepNext w:val="1"/>
      <w:keepLines w:val="1"/>
      <w:widowControl w:val="1"/>
      <w:spacing w:after="40" w:before="80" w:line="264" w:lineRule="auto"/>
      <w:ind/>
      <w:outlineLvl w:val="3"/>
    </w:pPr>
    <w:rPr>
      <w:rFonts w:asciiTheme="minorAscii" w:hAnsiTheme="minorHAnsi"/>
      <w:i w:val="1"/>
      <w:color w:themeColor="accent1" w:themeShade="BF" w:val="2F5496"/>
      <w:sz w:val="22"/>
    </w:rPr>
  </w:style>
  <w:style w:styleId="Style_31_ch" w:type="character">
    <w:name w:val="heading 4"/>
    <w:basedOn w:val="Style_3_ch"/>
    <w:link w:val="Style_31"/>
    <w:rPr>
      <w:rFonts w:asciiTheme="minorAscii" w:hAnsiTheme="minorHAnsi"/>
      <w:i w:val="1"/>
      <w:color w:themeColor="accent1" w:themeShade="BF" w:val="2F5496"/>
      <w:sz w:val="22"/>
    </w:rPr>
  </w:style>
  <w:style w:styleId="Style_32" w:type="paragraph">
    <w:name w:val="heading 2"/>
    <w:basedOn w:val="Style_3"/>
    <w:next w:val="Style_3"/>
    <w:link w:val="Style_32_ch"/>
    <w:uiPriority w:val="9"/>
    <w:qFormat/>
    <w:pPr>
      <w:keepNext w:val="1"/>
      <w:keepLines w:val="1"/>
      <w:widowControl w:val="1"/>
      <w:spacing w:after="80" w:before="160" w:line="264" w:lineRule="auto"/>
      <w:ind/>
      <w:outlineLvl w:val="1"/>
    </w:pPr>
    <w:rPr>
      <w:rFonts w:asciiTheme="majorAscii" w:hAnsiTheme="majorHAnsi"/>
      <w:color w:themeColor="accent1" w:themeShade="BF" w:val="2F5496"/>
      <w:sz w:val="32"/>
    </w:rPr>
  </w:style>
  <w:style w:styleId="Style_32_ch" w:type="character">
    <w:name w:val="heading 2"/>
    <w:basedOn w:val="Style_3_ch"/>
    <w:link w:val="Style_32"/>
    <w:rPr>
      <w:rFonts w:asciiTheme="majorAscii" w:hAnsiTheme="majorHAnsi"/>
      <w:color w:themeColor="accent1" w:themeShade="BF" w:val="2F5496"/>
      <w:sz w:val="32"/>
    </w:rPr>
  </w:style>
  <w:style w:styleId="Style_33" w:type="paragraph">
    <w:name w:val="heading 6"/>
    <w:basedOn w:val="Style_3"/>
    <w:next w:val="Style_3"/>
    <w:link w:val="Style_33_ch"/>
    <w:uiPriority w:val="9"/>
    <w:qFormat/>
    <w:pPr>
      <w:keepNext w:val="1"/>
      <w:keepLines w:val="1"/>
      <w:widowControl w:val="1"/>
      <w:spacing w:before="40" w:line="264" w:lineRule="auto"/>
      <w:ind/>
      <w:outlineLvl w:val="5"/>
    </w:pPr>
    <w:rPr>
      <w:rFonts w:asciiTheme="minorAscii" w:hAnsiTheme="minorHAnsi"/>
      <w:i w:val="1"/>
      <w:color w:themeColor="text1" w:themeTint="A6" w:val="595959"/>
      <w:sz w:val="22"/>
    </w:rPr>
  </w:style>
  <w:style w:styleId="Style_33_ch" w:type="character">
    <w:name w:val="heading 6"/>
    <w:basedOn w:val="Style_3_ch"/>
    <w:link w:val="Style_33"/>
    <w:rPr>
      <w:rFonts w:asciiTheme="minorAscii" w:hAnsiTheme="minorHAnsi"/>
      <w:i w:val="1"/>
      <w:color w:themeColor="text1" w:themeTint="A6" w:val="595959"/>
      <w:sz w:val="22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2026-02-24T14:39:01Z</dcterms:created>
  <dcterms:modified xsi:type="dcterms:W3CDTF">2026-02-24T14:39:01Z</dcterms:modified>
</cp:coreProperties>
</file>